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EF2D20"/>
    <w:p w14:paraId="792AFC80">
      <w:pPr>
        <w:jc w:val="center"/>
        <w:rPr>
          <w:b/>
          <w:bCs/>
        </w:rPr>
      </w:pPr>
      <w:bookmarkStart w:id="0" w:name="_GoBack"/>
      <w:r>
        <w:rPr>
          <w:b/>
          <w:bCs/>
        </w:rPr>
        <w:t>2026年度南京市软科学研究项目申报指南</w:t>
      </w:r>
    </w:p>
    <w:bookmarkEnd w:id="0"/>
    <w:p w14:paraId="019EDBE1">
      <w:pPr>
        <w:rPr>
          <w:b/>
          <w:bCs/>
        </w:rPr>
      </w:pPr>
      <w:r>
        <w:rPr>
          <w:b/>
          <w:bCs/>
        </w:rPr>
        <w:t>一、重点项目</w:t>
      </w:r>
    </w:p>
    <w:p w14:paraId="0BE9B93B">
      <w:r>
        <w:t>1.南京市有组织基础研究赋能科技创新和产业创新的机制与路径研究</w:t>
      </w:r>
    </w:p>
    <w:p w14:paraId="3CE18EE8">
      <w:r>
        <w:t>研究内容：梳理南京有组织基础研究发展现状、组织模式与存在问题，研究面向集成电路、生物医药、人工智能、新材料等南京重点产业需求和科技前沿的任务导向型基础研究布局机制以及跨高校院所协同攻关、企业参与基础研究、科技金融支持等机制创新，提出南京市有组织基础研究赋能科技创新和产业创新的政策体系与实施路径。</w:t>
      </w:r>
    </w:p>
    <w:p w14:paraId="24AE4808">
      <w:r>
        <w:t>2.以“双高协同”推动新产业新赛道培育，促进高新园区未来产业发展研究</w:t>
      </w:r>
    </w:p>
    <w:p w14:paraId="0735F8A1">
      <w:r>
        <w:t>研究内容：通过对“双高协同”模式及南京高新区新赛道培育发展成效分析，梳理总结推动“双高协同”及新赛道培育发展先进经验，研究以“双高协同”培育壮大新赛道，促进高新园区未来产业发展的对策路径。</w:t>
      </w:r>
    </w:p>
    <w:p w14:paraId="228FC750">
      <w:r>
        <w:t>3 .南京市科技服务业发展态势分析及对策研究</w:t>
      </w:r>
    </w:p>
    <w:p w14:paraId="728E6B58">
      <w:r>
        <w:t>研究内容：系统梳理南京市科技服务业总体规模、营收增速、企业结构、细分领域发展情况，分析近年来增长趋势、波动原因、贡献度变化。对标国内先进城市，找准南京发展差距。聚焦推动科技服务业平稳健康增长目标提出发展路径与对策建议。</w:t>
      </w:r>
    </w:p>
    <w:p w14:paraId="55748BE0">
      <w:r>
        <w:t>4 .南京市强化创新资源统筹配置的体制机制与路径优化研究</w:t>
      </w:r>
    </w:p>
    <w:p w14:paraId="7F1D4F4E">
      <w:r>
        <w:t>研究内容：梳理南京创新资源统筹的现状、问题及成因，与同类兄弟城市创新资源统筹情况进行横向比较，提出可落地、可操作的对策建议，为我市完善创新资源统筹体制机制、优化科技创新政策资金支持体系提供科学依据和决策参考，推动各项政策精准发力、提升实效。</w:t>
      </w:r>
    </w:p>
    <w:p w14:paraId="034D1FBC">
      <w:r>
        <w:t>5. 南京沿江主导产业空间适配与发展布局研究</w:t>
      </w:r>
    </w:p>
    <w:p w14:paraId="0CB70AE1">
      <w:r>
        <w:t>研究内容：立足“拥江发展”的战略定位，围绕南京主导产业创新需求与空间供给之间的动态适配关系展开研究。梳理沿江科技产业基础与空间资源家底，研判集成电路、生物医药等主导产业对空间载体的差异化需求；借鉴国内外滨江滨水创新带在空间布局方面的实践经验，明确南京长江两岸产业空间、生态环境、人文交往、基础设施等方面的重点方向和发展建议。</w:t>
      </w:r>
    </w:p>
    <w:p w14:paraId="4CDCA62A">
      <w:r>
        <w:t>6. 紫金山创新带人才专项政策研究</w:t>
      </w:r>
    </w:p>
    <w:p w14:paraId="6D6EF27A">
      <w:r>
        <w:t>研究内容：开展紫金山创新带人才政策体系研究，对比分析国外以及上海张江、杭州城西大走廊、合肥滨湖科学城等地人才创新举措，结合重点板块和重点单位现有人才政策的基础，提出持续激发人才创新创业活力意见建议，高质量支撑南京打造上海（长三角）国际科技创新中心关键支点。</w:t>
      </w:r>
    </w:p>
    <w:p w14:paraId="3AB640FB">
      <w:r>
        <w:t>7. 人工智能在生物医药领域的应用现状、前景及对策研究</w:t>
      </w:r>
    </w:p>
    <w:p w14:paraId="46A8332F">
      <w:r>
        <w:t>研究内容：系统梳理AI赋能生物医药全链条的应用模式与实施成效；深入研判全球及国内技术、市场、政策趋势与竞争格局；全面评估南京产业基础、AI资源、企业实践与关键制约因素；提出促进南京“AI+生物医药”深度融合发展的对策建议。</w:t>
      </w:r>
    </w:p>
    <w:p w14:paraId="0FF1120B">
      <w:r>
        <w:t>8 .南京紫金山创新带教育科技人才体制机制一体改革综合试点实践研究</w:t>
      </w:r>
    </w:p>
    <w:p w14:paraId="4BCBF70C">
      <w:r>
        <w:t>研究内容：根据国家有关文件及省有关部门对南京紫金山创新带教育科技人才体制机制一体改革综合试点工作要求，系统梳理聚焦重点领域和关键环节推进改革试点，分类施策推进改革情况，及时跟踪评估试点成效、提炼制度成果，形成可复制可推广的经验做法，并根据试点情况研提全市层面教育科技人才体制机制一体改革推进举措。</w:t>
      </w:r>
    </w:p>
    <w:p w14:paraId="1DA6BDE5">
      <w:pPr>
        <w:rPr>
          <w:b/>
          <w:bCs/>
        </w:rPr>
      </w:pPr>
      <w:r>
        <w:rPr>
          <w:b/>
          <w:bCs/>
        </w:rPr>
        <w:t>二、一般项目（青年项目）</w:t>
      </w:r>
    </w:p>
    <w:p w14:paraId="0E285DFA">
      <w:r>
        <w:t>面向南京科技创新发展中原创策源、贯通转化、企业主体、体制改革、开放协作等领域需求开展研究，不设具体题目，由申报单位自主选题，但不得与重点项目重复。</w:t>
      </w:r>
    </w:p>
    <w:p w14:paraId="5B09253F">
      <w:pPr>
        <w:rPr>
          <w:rFonts w:hint="eastAsia" w:eastAsiaTheme="minorEastAsia"/>
          <w:lang w:val="en-US" w:eastAsia="zh-CN"/>
        </w:rPr>
      </w:pPr>
      <w:r>
        <w:t>市级部门、党群组织可围绕主责主业的工作创新、模式创新、理论创新等自主选题研究，将视申报情况明确支持方式</w:t>
      </w:r>
      <w:r>
        <w:rPr>
          <w:rFonts w:hint="eastAsia"/>
          <w:lang w:eastAsia="zh-CN"/>
        </w:rPr>
        <w:t>。</w:t>
      </w:r>
    </w:p>
    <w:p w14:paraId="4D7C83EF">
      <w:pPr>
        <w:jc w:val="left"/>
        <w:rPr>
          <w:rFonts w:hint="eastAsia"/>
          <w:lang w:val="en-US" w:eastAsia="zh-CN"/>
        </w:rPr>
      </w:pPr>
    </w:p>
    <w:p w14:paraId="63C4C876">
      <w:pPr>
        <w:jc w:val="left"/>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wNzQyOTYwOGY0OGQzNzMzNDNlZTIxM2ZiMDJmOWYifQ=="/>
  </w:docVars>
  <w:rsids>
    <w:rsidRoot w:val="00000000"/>
    <w:rsid w:val="00642405"/>
    <w:rsid w:val="06D36058"/>
    <w:rsid w:val="0C0D5D00"/>
    <w:rsid w:val="12130FC5"/>
    <w:rsid w:val="18565A07"/>
    <w:rsid w:val="1EFC4539"/>
    <w:rsid w:val="269943D6"/>
    <w:rsid w:val="36B8432E"/>
    <w:rsid w:val="370246AC"/>
    <w:rsid w:val="38F942D1"/>
    <w:rsid w:val="3A5C16D7"/>
    <w:rsid w:val="3B123EAC"/>
    <w:rsid w:val="3E2F2D91"/>
    <w:rsid w:val="3FC82672"/>
    <w:rsid w:val="438C6C37"/>
    <w:rsid w:val="47CD6EB0"/>
    <w:rsid w:val="49A168DB"/>
    <w:rsid w:val="4B544C03"/>
    <w:rsid w:val="4EB47804"/>
    <w:rsid w:val="73643F6A"/>
    <w:rsid w:val="74CD5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355</Words>
  <Characters>356</Characters>
  <Lines>0</Lines>
  <Paragraphs>0</Paragraphs>
  <TotalTime>137</TotalTime>
  <ScaleCrop>false</ScaleCrop>
  <LinksUpToDate>false</LinksUpToDate>
  <CharactersWithSpaces>648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2023-05-30T03:19:00Z</dcterms:created>
  <dc:creator>Administrator</dc:creator>
  <cp:lastModifiedBy>罗婷婷</cp:lastModifiedBy>
  <cp:lastPrinted>2023-05-30T03:23:00Z</cp:lastPrinted>
  <dcterms:modified xsi:type="dcterms:W3CDTF">2026-09-10T05:28:18Z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4F6F539554D1446D97DAEB2EB4E26AD6_13</vt:lpwstr>
  </property>
  <property fmtid="{D5CDD505-2E9C-101B-9397-08002B2CF9AE}" pid="4" name="KSOTemplateDocerSaveRecord">
    <vt:lpwstr>eyJoZGlkIjoiY2IwNzQyOTYwOGY0OGQzNzMzNDNlZTIxM2ZiMDJmOWYiLCJ1c2VySWQiOiIxMDYxOTIwMzY0In0=</vt:lpwstr>
  </property>
</Properties>
</file>